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9116D1" w:rsidRDefault="00A351E4" w:rsidP="00A351E4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9116D1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ПРИЛОЖЕНИЕ № 7</w:t>
      </w:r>
    </w:p>
    <w:p w:rsidR="00A351E4" w:rsidRPr="009116D1" w:rsidRDefault="00A351E4" w:rsidP="00A351E4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9116D1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приказом Минюста России</w:t>
      </w:r>
    </w:p>
    <w:p w:rsidR="00A351E4" w:rsidRPr="009116D1" w:rsidRDefault="00A351E4" w:rsidP="00A351E4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9116D1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от ________№_________</w:t>
      </w:r>
    </w:p>
    <w:p w:rsidR="00A351E4" w:rsidRPr="009116D1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2CE2" w:rsidRPr="00A351E4" w:rsidRDefault="00952CE2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Типовой устав </w:t>
      </w:r>
      <w:r w:rsidRPr="00A351E4">
        <w:rPr>
          <w:rFonts w:ascii="Times New Roman" w:hAnsi="Times New Roman" w:cs="Times New Roman"/>
          <w:sz w:val="28"/>
          <w:szCs w:val="28"/>
        </w:rPr>
        <w:br/>
        <w:t>общественно полезного фонда</w:t>
      </w:r>
    </w:p>
    <w:p w:rsidR="00A351E4" w:rsidRPr="00A351E4" w:rsidRDefault="00A351E4" w:rsidP="00A351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51E4" w:rsidRPr="00A351E4" w:rsidRDefault="00A351E4" w:rsidP="00A351E4">
      <w:pPr>
        <w:keepNext/>
        <w:keepLines/>
        <w:widowControl w:val="0"/>
        <w:tabs>
          <w:tab w:val="left" w:pos="314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keepNext/>
        <w:keepLines/>
        <w:widowControl w:val="0"/>
        <w:tabs>
          <w:tab w:val="left" w:pos="314"/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Общественно полезный фонд, далее именуемый Фонд, является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имеющей членства унитарной некоммерческой организацией, созданной</w:t>
      </w:r>
      <w:r w:rsidRPr="00A351E4"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добровольных имущественных взн</w:t>
      </w:r>
      <w:r w:rsidR="0044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осов для достижения общественно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полезных целей, предусмотренных пунктом 5 настоящего Устава.</w:t>
      </w:r>
    </w:p>
    <w:p w:rsidR="00A351E4" w:rsidRPr="00A351E4" w:rsidRDefault="00A351E4" w:rsidP="00952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Фонда:</w:t>
      </w:r>
      <w:r w:rsidR="00952C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 аааааааааааааа 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 xml:space="preserve">ааааааааааааааааааааааааааааааааааааааааааааааааааааааааааааааа ааааааааа 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952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Сокращенное наименование Фонда:</w:t>
      </w:r>
      <w:r w:rsidR="00952C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 ааааааааааааа 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952C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Место нахождения Фонда:</w:t>
      </w:r>
      <w:r w:rsidR="00952CE2">
        <w:rPr>
          <w:rFonts w:ascii="Times New Roman" w:hAnsi="Times New Roman" w:cs="Times New Roman"/>
          <w:sz w:val="28"/>
          <w:szCs w:val="28"/>
        </w:rPr>
        <w:t> </w:t>
      </w:r>
      <w:r w:rsidR="00952CE2" w:rsidRPr="00952CE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 ааааааааааа</w:t>
      </w:r>
      <w:r w:rsidR="00952CE2" w:rsidRPr="00952CE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A351E4" w:rsidRDefault="00A351E4" w:rsidP="00952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и (или) сокращенное наименование на языке народов Российской Федерации и (или) иностранном языке (указать язык):</w:t>
      </w:r>
      <w:r w:rsidR="00952CE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 </w:t>
      </w:r>
      <w:r w:rsidR="00952CE2" w:rsidRPr="00952CE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</w:r>
      <w:r w:rsidR="00952CE2" w:rsidRPr="00952CE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 xml:space="preserve">аааааааааааааааааааааааааааааааааааааааааааааааааааааааааааааааааа аааааа </w:t>
      </w:r>
      <w:r w:rsidR="00952CE2" w:rsidRPr="00952CE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="00952CE2">
        <w:rPr>
          <w:rFonts w:ascii="Times New Roman" w:hAnsi="Times New Roman" w:cs="Times New Roman"/>
          <w:sz w:val="28"/>
          <w:szCs w:val="28"/>
        </w:rPr>
        <w:t>.</w:t>
      </w:r>
    </w:p>
    <w:p w:rsidR="00D72824" w:rsidRPr="004D378A" w:rsidRDefault="00D72824" w:rsidP="00D728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(отсутствии) печати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Фонда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________________________________________________________________</w:t>
      </w:r>
    </w:p>
    <w:p w:rsidR="00D72824" w:rsidRPr="004D378A" w:rsidRDefault="00D72824" w:rsidP="00D728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Фонда </w:t>
      </w: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ее описание (при наличии): ___________________________________________</w:t>
      </w:r>
    </w:p>
    <w:p w:rsidR="00D72824" w:rsidRPr="004D378A" w:rsidRDefault="00D72824" w:rsidP="00D728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D72824" w:rsidRPr="00A351E4" w:rsidRDefault="00D72824" w:rsidP="00D728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4" w:color="000000"/>
        </w:pBdr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p w:rsidR="00D72824" w:rsidRPr="00A351E4" w:rsidRDefault="00D72824" w:rsidP="00952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1E4" w:rsidRPr="00A351E4" w:rsidRDefault="00A351E4" w:rsidP="00A35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Организационно-правовая форма – общественно полезный фонд.</w:t>
      </w:r>
    </w:p>
    <w:p w:rsidR="00A351E4" w:rsidRPr="00A351E4" w:rsidRDefault="00A351E4" w:rsidP="00A35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Фонд использует имущество для целей, определенных настоящим Уставом.</w:t>
      </w:r>
    </w:p>
    <w:p w:rsidR="00A351E4" w:rsidRPr="00A351E4" w:rsidRDefault="00A351E4" w:rsidP="00A35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keepNext/>
        <w:keepLines/>
        <w:widowControl w:val="0"/>
        <w:tabs>
          <w:tab w:val="left" w:pos="314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Предмет, цели и виды деятельности Фонда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952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Предмет деятельности Фонда:</w:t>
      </w:r>
      <w:r w:rsidR="00952C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ааааааааааааааааааааааааааааааааааа </w:t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lastRenderedPageBreak/>
        <w:t xml:space="preserve">ааааааааааааааааааааааааааааааааааааааааааааааааааааа ааааааааааааааааааа </w:t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Целями деятельности Фонда являются: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52C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52C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952C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CE2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CE2" w:rsidRPr="00A351E4" w:rsidRDefault="00952CE2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достижения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Уставом,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7A7C" w:rsidRPr="00277A7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в соответствии с ними </w:t>
      </w:r>
      <w:r w:rsidRPr="00277A7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Фонд осуществляет следующие виды деятельности: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B1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2A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B1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2A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DB1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12A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иной приносящей доход деятельности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1E4" w:rsidRPr="00A351E4" w:rsidRDefault="00DB12A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DB12A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DB12A4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1E4" w:rsidRPr="00A351E4" w:rsidRDefault="00A351E4" w:rsidP="00A351E4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Органы Фонда</w:t>
      </w:r>
    </w:p>
    <w:p w:rsidR="00A351E4" w:rsidRPr="00A351E4" w:rsidRDefault="00A351E4" w:rsidP="00A351E4">
      <w:pPr>
        <w:tabs>
          <w:tab w:val="left" w:pos="399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7. Органами Фонда являются: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A351E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Совет Фонда;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351E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председатель;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A351E4">
        <w:rPr>
          <w:lang w:val="en-US"/>
        </w:rPr>
        <w:t> 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Попечительский совет.</w:t>
      </w:r>
    </w:p>
    <w:p w:rsidR="00A351E4" w:rsidRPr="00A351E4" w:rsidRDefault="00A351E4" w:rsidP="00A351E4">
      <w:pPr>
        <w:keepNext/>
        <w:keepLines/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51E4" w:rsidRPr="00A351E4" w:rsidRDefault="00A351E4" w:rsidP="00A351E4">
      <w:pPr>
        <w:keepNext/>
        <w:keepLines/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3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Совет Фонда</w:t>
      </w:r>
    </w:p>
    <w:p w:rsidR="00A351E4" w:rsidRPr="00A351E4" w:rsidRDefault="00A351E4" w:rsidP="00A351E4">
      <w:pPr>
        <w:keepNext/>
        <w:keepLines/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Совет Фонда является высшим коллегиальным органом Фонда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возглавляется председателем Совета Фонда.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 Совет Фонда при создании Фонда формируется учредителями (учредителем) Фонда. В дальнейшем Совет Фонда формируется за счет кооптации в него новых членов. Совет Фонда состоит из _____ членов и формируется на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_____год(а) (лет).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Совет Фонда осуществляет свою деятельность на общественных началах без выплаты вознаграждений.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исключительной</w:t>
      </w:r>
      <w:r w:rsidRPr="00A351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Совета Фонда относятся: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изменение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определение и утверждение приоритетных направлений деятельности Фонда, принципов формирования и использования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имущества;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образование органов Фонда и досрочное прекращение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полномочий;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принятие решений о создании Фондом других юридических лиц,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участии Фонда в других юридических лицах;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принятие решений о создании филиалов и (или) об открытии представительств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утверждение годового отчета о деятельности Фонда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бухгалтерской (финансовой) отчетности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утверждение аудиторской организации или индивидуального аудитора Фонда;</w:t>
      </w:r>
    </w:p>
    <w:p w:rsid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8) одобрение совершаемых Фондом сделок в случаях, предусмотренных законом</w:t>
      </w:r>
      <w:r w:rsidRPr="00A351E4">
        <w:t xml:space="preserve"> </w:t>
      </w:r>
      <w:r w:rsidRPr="00A351E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D72824" w:rsidRPr="00A351E4" w:rsidRDefault="00D7282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8.1) принятие решений о назначении ликвидационной комиссии (ликвидатора) и об утверждении ликвидационного баланса;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9) р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ассмотрение иных вопросов</w:t>
      </w:r>
      <w:r w:rsidR="00D72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деятельности Фонда.</w:t>
      </w:r>
      <w:bookmarkStart w:id="0" w:name="_GoBack"/>
      <w:bookmarkEnd w:id="0"/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A351E4">
        <w:rPr>
          <w:rFonts w:ascii="Times New Roman" w:eastAsia="Times New Roman" w:hAnsi="Times New Roman" w:cs="Times New Roman"/>
          <w:color w:val="00B050"/>
          <w:sz w:val="28"/>
          <w:szCs w:val="28"/>
          <w:lang w:eastAsia="ru-RU" w:bidi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Совета Фонда по вопросам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его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исключительной компетенции принимаются открытым голосованием квалифицированным большинством не менее ____ голосов членов Совета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Фонда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присутствующих на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его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заседании. По вопросам, не входящим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исключительную компетенцию Совета</w:t>
      </w:r>
      <w:r w:rsidRPr="00A351E4"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Фонда, решения принимаются открытым голосованием простым большинством голосов прис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утствующих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277A7C"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заседании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членов Совета Фонда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12.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Фонда правомочн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 н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более половины членов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Фонда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Фонда могут проводиться в формате видеоконференции. Факт участия членов Совета Фонда в заседании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формате видеоконференции отражается в протоколе заседания Совета Фонда.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Фонда проводятся по мере необходимости, но не реже _____ раз(а) в _____</w:t>
      </w:r>
      <w:r w:rsidRPr="00A351E4"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год(а) (лет). 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Возглавляет Совет Фонда председатель, избираемый Советом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Фонда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срок своих полномочий. При создании председатель избирается на первом заседании Совета Фонда.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Председатель Совета организует исполнение решений Совета Фонда, работу Совета Фонда, решает иные вопросы деятельности Фонда,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не отнесенные к компетенции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редседателя и Попечительского совета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Председатель </w:t>
      </w:r>
    </w:p>
    <w:p w:rsidR="00A351E4" w:rsidRPr="00A351E4" w:rsidRDefault="00A351E4" w:rsidP="00A351E4">
      <w:pPr>
        <w:widowControl w:val="0"/>
        <w:tabs>
          <w:tab w:val="left" w:pos="-142"/>
          <w:tab w:val="left" w:pos="720"/>
          <w:tab w:val="left" w:pos="1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51E4" w:rsidRPr="00277A7C" w:rsidRDefault="00460F7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</w:t>
      </w:r>
      <w:r w:rsidR="00A351E4" w:rsidRPr="00277A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Председатель является единоличным исполнительным органом Фонда.</w:t>
      </w:r>
    </w:p>
    <w:p w:rsidR="00A351E4" w:rsidRPr="00A351E4" w:rsidRDefault="00460F7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полномочий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год(а) (лет).</w:t>
      </w:r>
    </w:p>
    <w:p w:rsidR="00A351E4" w:rsidRPr="00A351E4" w:rsidRDefault="00460F7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компетенции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относятся: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реализация направлений деятельности Фонда, определенных Советом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текущее оперативное руководство деятельностью Фонда,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и контроль текущей работы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организация бухгалтерского учета, бухгалтерской (финансовой) отчетности и статистической отчетности Фонда; 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и представление в Совет Фонда годового отчета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деятельности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организация выполнения решений Совета Фонда, осуществление контроля за выполнением указанных решений;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действие без доверенности от имени Фонда;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заключение, изменение и расторжение трудовых договоров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работниками Фонда, утверждение их должностных инструкций;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утверждение штатного расписания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tabs>
          <w:tab w:val="left" w:pos="-142"/>
          <w:tab w:val="left" w:pos="2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tabs>
          <w:tab w:val="left" w:pos="-142"/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Попечительский совет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51E4" w:rsidRPr="00A351E4" w:rsidRDefault="00460F7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Попечительский совет является надзорным органом Фонда 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возглавляется председателем Попечительского совета. При создании Фонда состав Попечительского совета, в том числе его председатель,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учредителями (учредителем). В дальнейшем Попечительский совет формируется Советом Фонда сроком на  ____год(а) (лет).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Попечительский совет осуществляет свою деятельность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общественных началах.</w:t>
      </w:r>
    </w:p>
    <w:p w:rsidR="00A351E4" w:rsidRPr="00A351E4" w:rsidRDefault="00460F7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компетенции П</w:t>
      </w:r>
      <w:r w:rsidR="00611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совета относятся </w:t>
      </w:r>
      <w:r w:rsidR="00A351E4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надзора за деятельностью Фонда, принятием органами Фонда решений и обеспечением их исполнения, использованием </w:t>
      </w:r>
      <w:r w:rsidR="00A351E4" w:rsidRPr="00A351E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средств Фонда и соблюдением им законодательства Российской Федерации.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0F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Попечительского совета проводится по мере необходимости, но не реже ___ раз(а) в _____ и считается правомочным, если на нем присутствует более половины его членов. Решения Попечительского совета принимаются открытым голосованием простым большинством голосов членов Попечительского совета, присутствующих на заседании.</w:t>
      </w:r>
    </w:p>
    <w:p w:rsidR="00A351E4" w:rsidRPr="00A351E4" w:rsidRDefault="00A351E4" w:rsidP="00A351E4">
      <w:pPr>
        <w:widowControl w:val="0"/>
        <w:tabs>
          <w:tab w:val="left" w:pos="2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tabs>
          <w:tab w:val="left" w:pos="-142"/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распределения имущества, 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оставшегося после ликвидация Фонда</w:t>
      </w:r>
    </w:p>
    <w:p w:rsidR="00A351E4" w:rsidRPr="00A351E4" w:rsidRDefault="00A351E4" w:rsidP="00A351E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0F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Имущество Фонда при ликвидации, оставшееся после удовлетворения требования кредиторов, направляется на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заявленные 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Уставе Фонда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27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деятельности,</w:t>
      </w:r>
      <w:r w:rsidRPr="00A351E4"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если законом предусмотрен возврат такого имущества учредителям Фонда.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6F7F" w:rsidRPr="00A351E4" w:rsidRDefault="00536F7F" w:rsidP="009116D1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</w:p>
    <w:sectPr w:rsidR="00536F7F" w:rsidRPr="00A351E4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80" w:rsidRDefault="00597D80" w:rsidP="00A351E4">
      <w:pPr>
        <w:spacing w:after="0" w:line="240" w:lineRule="auto"/>
      </w:pPr>
      <w:r>
        <w:separator/>
      </w:r>
    </w:p>
  </w:endnote>
  <w:endnote w:type="continuationSeparator" w:id="0">
    <w:p w:rsidR="00597D80" w:rsidRDefault="00597D80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80" w:rsidRDefault="00597D80" w:rsidP="00A351E4">
      <w:pPr>
        <w:spacing w:after="0" w:line="240" w:lineRule="auto"/>
      </w:pPr>
      <w:r>
        <w:separator/>
      </w:r>
    </w:p>
  </w:footnote>
  <w:footnote w:type="continuationSeparator" w:id="0">
    <w:p w:rsidR="00597D80" w:rsidRDefault="00597D80" w:rsidP="00A3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52522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D72824">
          <w:rPr>
            <w:rFonts w:ascii="Times New Roman" w:hAnsi="Times New Roman" w:cs="Times New Roman"/>
            <w:noProof/>
            <w:sz w:val="28"/>
          </w:rPr>
          <w:t>2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5737E"/>
    <w:rsid w:val="00460F74"/>
    <w:rsid w:val="004669F4"/>
    <w:rsid w:val="00492750"/>
    <w:rsid w:val="004D1304"/>
    <w:rsid w:val="004D20A5"/>
    <w:rsid w:val="004F1386"/>
    <w:rsid w:val="00531AFF"/>
    <w:rsid w:val="00536F7F"/>
    <w:rsid w:val="00551A20"/>
    <w:rsid w:val="0059484B"/>
    <w:rsid w:val="00597D80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116D1"/>
    <w:rsid w:val="00952CE2"/>
    <w:rsid w:val="00967EE5"/>
    <w:rsid w:val="00981716"/>
    <w:rsid w:val="00982B20"/>
    <w:rsid w:val="009A3293"/>
    <w:rsid w:val="009D71AE"/>
    <w:rsid w:val="00A351E4"/>
    <w:rsid w:val="00A41F34"/>
    <w:rsid w:val="00AC608D"/>
    <w:rsid w:val="00B0441D"/>
    <w:rsid w:val="00B22454"/>
    <w:rsid w:val="00B23D87"/>
    <w:rsid w:val="00B550DD"/>
    <w:rsid w:val="00BF5DA0"/>
    <w:rsid w:val="00C138DC"/>
    <w:rsid w:val="00C5032E"/>
    <w:rsid w:val="00C5773F"/>
    <w:rsid w:val="00CC1637"/>
    <w:rsid w:val="00CF00F4"/>
    <w:rsid w:val="00D45DE0"/>
    <w:rsid w:val="00D71165"/>
    <w:rsid w:val="00D72824"/>
    <w:rsid w:val="00D85D11"/>
    <w:rsid w:val="00DB12A4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7661"/>
  <w15:docId w15:val="{04A243B6-5C7F-4DE0-89CA-53908B15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EEF2-226A-4CAD-9A03-70FD9E3B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2023-07-03T11:05:00Z</dcterms:created>
  <dcterms:modified xsi:type="dcterms:W3CDTF">2025-06-26T07:23:00Z</dcterms:modified>
</cp:coreProperties>
</file>